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20" w:rsidRDefault="00783B60" w:rsidP="001D3919">
      <w:pPr>
        <w:bidi/>
        <w:rPr>
          <w:noProof/>
          <w:sz w:val="24"/>
          <w:szCs w:val="24"/>
          <w:rtl/>
        </w:rPr>
      </w:pPr>
      <w:bookmarkStart w:id="0" w:name="_GoBack"/>
      <w:bookmarkEnd w:id="0"/>
      <w:r w:rsidRPr="00811BBA">
        <w:rPr>
          <w:rFonts w:hint="cs"/>
          <w:noProof/>
          <w:sz w:val="24"/>
          <w:szCs w:val="24"/>
          <w:rtl/>
        </w:rPr>
        <w:t>שלום</w:t>
      </w:r>
      <w:r w:rsidR="00811BBA">
        <w:rPr>
          <w:rFonts w:hint="cs"/>
          <w:noProof/>
          <w:sz w:val="24"/>
          <w:szCs w:val="24"/>
          <w:rtl/>
        </w:rPr>
        <w:t xml:space="preserve"> לסטודנטים בבית הספר לסי</w:t>
      </w:r>
      <w:r w:rsidR="001D3919">
        <w:rPr>
          <w:rFonts w:hint="cs"/>
          <w:noProof/>
          <w:sz w:val="24"/>
          <w:szCs w:val="24"/>
          <w:rtl/>
        </w:rPr>
        <w:t>עוד</w:t>
      </w:r>
      <w:r w:rsidRPr="00811BBA">
        <w:rPr>
          <w:rFonts w:hint="cs"/>
          <w:noProof/>
          <w:sz w:val="24"/>
          <w:szCs w:val="24"/>
          <w:rtl/>
        </w:rPr>
        <w:t>,</w:t>
      </w:r>
    </w:p>
    <w:p w:rsidR="001D3919" w:rsidRDefault="001D3919" w:rsidP="001D3919">
      <w:pPr>
        <w:bidi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t xml:space="preserve">באתר </w:t>
      </w:r>
      <w:r w:rsidRPr="001D3919">
        <w:rPr>
          <w:rFonts w:hint="cs"/>
          <w:b/>
          <w:bCs/>
          <w:noProof/>
          <w:sz w:val="24"/>
          <w:szCs w:val="24"/>
          <w:rtl/>
        </w:rPr>
        <w:t>כותר</w:t>
      </w:r>
      <w:r w:rsidRPr="00927CDF">
        <w:rPr>
          <w:rFonts w:hint="cs"/>
          <w:b/>
          <w:bCs/>
          <w:noProof/>
          <w:sz w:val="24"/>
          <w:szCs w:val="24"/>
          <w:rtl/>
        </w:rPr>
        <w:t>:</w:t>
      </w:r>
      <w:r w:rsidRPr="00927CDF">
        <w:rPr>
          <w:rFonts w:hint="cs"/>
          <w:b/>
          <w:bCs/>
          <w:noProof/>
          <w:sz w:val="48"/>
          <w:szCs w:val="48"/>
          <w:rtl/>
        </w:rPr>
        <w:t xml:space="preserve"> </w:t>
      </w:r>
      <w:hyperlink r:id="rId4" w:history="1">
        <w:r w:rsidRPr="00927CDF">
          <w:rPr>
            <w:rStyle w:val="Hyperlink"/>
            <w:b/>
            <w:bCs/>
            <w:noProof/>
            <w:sz w:val="48"/>
            <w:szCs w:val="48"/>
          </w:rPr>
          <w:t>https://kotar.cet.ac.il</w:t>
        </w:r>
        <w:r w:rsidRPr="00927CDF">
          <w:rPr>
            <w:rStyle w:val="Hyperlink"/>
            <w:rFonts w:cs="Arial"/>
            <w:b/>
            <w:bCs/>
            <w:noProof/>
            <w:sz w:val="48"/>
            <w:szCs w:val="48"/>
            <w:rtl/>
          </w:rPr>
          <w:t>/</w:t>
        </w:r>
      </w:hyperlink>
      <w:r>
        <w:rPr>
          <w:rFonts w:cs="Arial" w:hint="cs"/>
          <w:noProof/>
          <w:sz w:val="24"/>
          <w:szCs w:val="24"/>
          <w:rtl/>
        </w:rPr>
        <w:t xml:space="preserve"> נמצאים ספרים בסיעוד </w:t>
      </w:r>
      <w:r>
        <w:rPr>
          <w:rFonts w:hint="cs"/>
          <w:sz w:val="24"/>
          <w:szCs w:val="24"/>
          <w:rtl/>
        </w:rPr>
        <w:t>(</w:t>
      </w:r>
      <w:r w:rsidRPr="00927CDF">
        <w:rPr>
          <w:rFonts w:hint="cs"/>
          <w:b/>
          <w:bCs/>
          <w:sz w:val="24"/>
          <w:szCs w:val="24"/>
          <w:highlight w:val="yellow"/>
          <w:rtl/>
        </w:rPr>
        <w:t>בעברית</w:t>
      </w:r>
      <w:r>
        <w:rPr>
          <w:rFonts w:hint="cs"/>
          <w:sz w:val="24"/>
          <w:szCs w:val="24"/>
          <w:rtl/>
        </w:rPr>
        <w:t>) שבדרך כלל ניתן למצוא אותם בספרית בית הספר.</w:t>
      </w:r>
    </w:p>
    <w:p w:rsidR="003E1130" w:rsidRDefault="006C38A0" w:rsidP="003E1130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עקב המצב הבטחוני, ניתן כעת לגשת חופשי לספרים הללו (רשימה בהמשך).</w:t>
      </w:r>
    </w:p>
    <w:p w:rsidR="006C38A0" w:rsidRDefault="006C38A0" w:rsidP="006C38A0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ואילו ההנחיות: 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rtl/>
        </w:rPr>
        <w:t>הגישה הנה באמצעות קוד גישה.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rtl/>
        </w:rPr>
        <w:t> 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ind w:left="720" w:hanging="360"/>
        <w:rPr>
          <w:rFonts w:ascii="Calibri" w:hAnsi="Calibri" w:cs="Calibri"/>
          <w:sz w:val="22"/>
          <w:szCs w:val="22"/>
          <w:rtl/>
        </w:rPr>
      </w:pPr>
      <w:r>
        <w:rPr>
          <w:rFonts w:ascii="Wingdings" w:hAnsi="Wingdings" w:cs="Calibri"/>
          <w:sz w:val="22"/>
          <w:szCs w:val="22"/>
        </w:rPr>
        <w:t></w:t>
      </w:r>
      <w:r>
        <w:rPr>
          <w:rFonts w:hint="cs"/>
          <w:sz w:val="14"/>
          <w:szCs w:val="14"/>
          <w:rtl/>
        </w:rPr>
        <w:t>      </w:t>
      </w:r>
      <w:r>
        <w:rPr>
          <w:rFonts w:ascii="Calibri" w:hAnsi="Calibri" w:cs="Calibri"/>
          <w:sz w:val="22"/>
          <w:szCs w:val="22"/>
          <w:rtl/>
        </w:rPr>
        <w:t>הקוד הוא אחיד והוא לשימוש רב פעמי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ind w:left="720" w:hanging="360"/>
        <w:rPr>
          <w:rFonts w:ascii="Calibri" w:hAnsi="Calibri" w:cs="Calibri"/>
          <w:sz w:val="22"/>
          <w:szCs w:val="22"/>
          <w:rtl/>
        </w:rPr>
      </w:pPr>
      <w:r>
        <w:rPr>
          <w:rFonts w:ascii="Wingdings" w:hAnsi="Wingdings" w:cs="Calibri"/>
          <w:sz w:val="22"/>
          <w:szCs w:val="22"/>
        </w:rPr>
        <w:t></w:t>
      </w:r>
      <w:r>
        <w:rPr>
          <w:rFonts w:hint="cs"/>
          <w:sz w:val="14"/>
          <w:szCs w:val="14"/>
          <w:rtl/>
        </w:rPr>
        <w:t>      </w:t>
      </w:r>
      <w:r>
        <w:rPr>
          <w:rFonts w:ascii="Calibri" w:hAnsi="Calibri" w:cs="Calibri"/>
          <w:sz w:val="22"/>
          <w:szCs w:val="22"/>
          <w:rtl/>
        </w:rPr>
        <w:t>כל קוד מופעל עם יצירת שם משתמש וססמא (פר משתמש)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ind w:left="720" w:hanging="360"/>
        <w:rPr>
          <w:rFonts w:ascii="Calibri" w:hAnsi="Calibri" w:cs="Calibri"/>
          <w:sz w:val="22"/>
          <w:szCs w:val="22"/>
          <w:rtl/>
        </w:rPr>
      </w:pPr>
      <w:r>
        <w:rPr>
          <w:rFonts w:ascii="Wingdings" w:hAnsi="Wingdings" w:cs="Calibri"/>
          <w:sz w:val="22"/>
          <w:szCs w:val="22"/>
        </w:rPr>
        <w:t></w:t>
      </w:r>
      <w:r>
        <w:rPr>
          <w:rFonts w:hint="cs"/>
          <w:sz w:val="14"/>
          <w:szCs w:val="14"/>
          <w:rtl/>
        </w:rPr>
        <w:t>      </w:t>
      </w:r>
      <w:r>
        <w:rPr>
          <w:rFonts w:ascii="Calibri" w:hAnsi="Calibri" w:cs="Calibri"/>
          <w:sz w:val="22"/>
          <w:szCs w:val="22"/>
          <w:rtl/>
        </w:rPr>
        <w:t>כל קוד שקשור לשם משתמש וססמא – בתוקף לחודש מיום הפעלתו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ind w:left="720" w:hanging="360"/>
        <w:rPr>
          <w:rFonts w:ascii="Calibri" w:hAnsi="Calibri" w:cs="Calibri"/>
          <w:sz w:val="22"/>
          <w:szCs w:val="22"/>
          <w:rtl/>
        </w:rPr>
      </w:pPr>
      <w:r>
        <w:rPr>
          <w:rFonts w:ascii="Wingdings" w:hAnsi="Wingdings" w:cs="Calibri"/>
          <w:sz w:val="22"/>
          <w:szCs w:val="22"/>
        </w:rPr>
        <w:t></w:t>
      </w:r>
      <w:r>
        <w:rPr>
          <w:rFonts w:hint="cs"/>
          <w:sz w:val="14"/>
          <w:szCs w:val="14"/>
          <w:rtl/>
        </w:rPr>
        <w:t>      </w:t>
      </w:r>
      <w:r>
        <w:rPr>
          <w:rFonts w:ascii="Calibri" w:hAnsi="Calibri" w:cs="Calibri"/>
          <w:sz w:val="22"/>
          <w:szCs w:val="22"/>
          <w:rtl/>
        </w:rPr>
        <w:t>הקוד הנו טלדן23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ind w:left="720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u w:val="single"/>
          <w:rtl/>
        </w:rPr>
        <w:t>להלן הנחיות גישה: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rtl/>
        </w:rPr>
        <w:t> 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rtl/>
        </w:rPr>
        <w:t>יש להכנס לאתר כותר </w:t>
      </w:r>
      <w:hyperlink r:id="rId5" w:history="1">
        <w:r>
          <w:rPr>
            <w:rStyle w:val="Hyperlink"/>
            <w:rFonts w:ascii="Calibri" w:hAnsi="Calibri" w:cs="Calibri"/>
            <w:color w:val="0078D4"/>
            <w:sz w:val="22"/>
            <w:szCs w:val="22"/>
          </w:rPr>
          <w:t>https://kotar.cet.ac.il</w:t>
        </w:r>
        <w:r>
          <w:rPr>
            <w:rStyle w:val="Hyperlink"/>
            <w:rFonts w:ascii="Calibri" w:hAnsi="Calibri" w:cs="Calibri"/>
            <w:color w:val="0078D4"/>
            <w:sz w:val="22"/>
            <w:szCs w:val="22"/>
            <w:rtl/>
          </w:rPr>
          <w:t>/</w:t>
        </w:r>
      </w:hyperlink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rtl/>
        </w:rPr>
        <w:t>לשוטט באתר כרגיל, לבצע חיפוש או להכנס לספר שמעוניינים בו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rtl/>
        </w:rPr>
        <w:t>הגישה פתוחה ללא צורך במוני ל- 10 דפים ראשונים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rtl/>
        </w:rPr>
        <w:t>ברגע שמנסים לגשת ליותר מ- 10 דפים נפתח חלון של עגלת קניות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rtl/>
        </w:rPr>
        <w:t>שם יש לבחור "מנוי חודש" (להוסיף לסל)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rtl/>
        </w:rPr>
        <w:t>נפתח חלון בו מכניסים את קוד ההטבה טלדן23 – ואישור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rtl/>
        </w:rPr>
        <w:t>אז מבצעים הרשמה </w:t>
      </w:r>
      <w:r>
        <w:rPr>
          <w:rFonts w:ascii="Calibri" w:hAnsi="Calibri" w:cs="Calibri"/>
          <w:b/>
          <w:bCs/>
          <w:sz w:val="22"/>
          <w:szCs w:val="22"/>
          <w:shd w:val="clear" w:color="auto" w:fill="FFFF00"/>
          <w:rtl/>
        </w:rPr>
        <w:t>חד פעמית</w:t>
      </w:r>
      <w:r>
        <w:rPr>
          <w:rFonts w:ascii="Calibri" w:hAnsi="Calibri" w:cs="Calibri"/>
          <w:sz w:val="22"/>
          <w:szCs w:val="22"/>
          <w:rtl/>
        </w:rPr>
        <w:t> ויוצרים שם משתמש וססמא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rtl/>
        </w:rPr>
        <w:t>מגיע למייל אישור עם קישור ולוחצים עליו</w:t>
      </w:r>
    </w:p>
    <w:p w:rsidR="005D3D46" w:rsidRDefault="005D3D46" w:rsidP="005D3D46">
      <w:pPr>
        <w:pStyle w:val="NormalWeb"/>
        <w:bidi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rtl/>
        </w:rPr>
      </w:pPr>
      <w:r>
        <w:rPr>
          <w:rFonts w:ascii="Calibri" w:hAnsi="Calibri" w:cs="Calibri"/>
          <w:sz w:val="22"/>
          <w:szCs w:val="22"/>
          <w:rtl/>
        </w:rPr>
        <w:t>נכנסים עם שם המשמש והססמא שיצרנו</w:t>
      </w:r>
    </w:p>
    <w:p w:rsidR="00FB61B2" w:rsidRPr="00811BBA" w:rsidRDefault="00FB61B2" w:rsidP="00FB61B2">
      <w:pPr>
        <w:bidi/>
        <w:rPr>
          <w:sz w:val="24"/>
          <w:szCs w:val="24"/>
          <w:rtl/>
        </w:rPr>
      </w:pPr>
    </w:p>
    <w:p w:rsidR="00DA14CC" w:rsidRPr="00811BBA" w:rsidRDefault="00DA14CC" w:rsidP="003E1130">
      <w:pPr>
        <w:bidi/>
        <w:jc w:val="center"/>
        <w:rPr>
          <w:b/>
          <w:bCs/>
          <w:sz w:val="28"/>
          <w:szCs w:val="28"/>
          <w:rtl/>
        </w:rPr>
      </w:pPr>
      <w:r w:rsidRPr="00811BBA">
        <w:rPr>
          <w:rFonts w:hint="cs"/>
          <w:b/>
          <w:bCs/>
          <w:sz w:val="28"/>
          <w:szCs w:val="28"/>
          <w:highlight w:val="yellow"/>
          <w:rtl/>
        </w:rPr>
        <w:t xml:space="preserve">רשימת הספרים </w:t>
      </w:r>
      <w:r w:rsidR="00B21199" w:rsidRPr="00811BBA">
        <w:rPr>
          <w:rFonts w:hint="cs"/>
          <w:b/>
          <w:bCs/>
          <w:sz w:val="28"/>
          <w:szCs w:val="28"/>
          <w:highlight w:val="yellow"/>
          <w:rtl/>
        </w:rPr>
        <w:t>הקשורים ל</w:t>
      </w:r>
      <w:r w:rsidR="003E1130">
        <w:rPr>
          <w:rFonts w:hint="cs"/>
          <w:b/>
          <w:bCs/>
          <w:sz w:val="28"/>
          <w:szCs w:val="28"/>
          <w:highlight w:val="yellow"/>
          <w:rtl/>
        </w:rPr>
        <w:t>לימודי</w:t>
      </w:r>
      <w:r w:rsidR="00B21199" w:rsidRPr="00811BBA">
        <w:rPr>
          <w:rFonts w:hint="cs"/>
          <w:b/>
          <w:bCs/>
          <w:sz w:val="28"/>
          <w:szCs w:val="28"/>
          <w:highlight w:val="yellow"/>
          <w:rtl/>
        </w:rPr>
        <w:t xml:space="preserve"> הסיעוד </w:t>
      </w:r>
      <w:r w:rsidRPr="00811BBA">
        <w:rPr>
          <w:rFonts w:hint="cs"/>
          <w:b/>
          <w:bCs/>
          <w:sz w:val="28"/>
          <w:szCs w:val="28"/>
          <w:highlight w:val="yellow"/>
          <w:rtl/>
        </w:rPr>
        <w:t>שאפשר לקרוא בכותר</w:t>
      </w:r>
    </w:p>
    <w:p w:rsidR="00DA14CC" w:rsidRPr="00811BBA" w:rsidRDefault="00DA14CC" w:rsidP="00B21199">
      <w:pPr>
        <w:bidi/>
        <w:rPr>
          <w:sz w:val="24"/>
          <w:szCs w:val="24"/>
          <w:rtl/>
        </w:rPr>
      </w:pPr>
    </w:p>
    <w:p w:rsidR="00DD5EF0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6" w:history="1">
        <w:r w:rsidR="00DD5EF0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אורתופדיה</w:t>
        </w:r>
      </w:hyperlink>
    </w:p>
    <w:p w:rsidR="00DD5EF0" w:rsidRPr="003E1130" w:rsidRDefault="00DD5EF0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</w:rPr>
        <w:t> 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ערן תמיר</w:t>
      </w:r>
    </w:p>
    <w:p w:rsidR="00DD5EF0" w:rsidRPr="003E1130" w:rsidRDefault="00DD5EF0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B21199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7" w:history="1">
        <w:r w:rsidR="00B21199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אק"ג : פענוח מהיר</w:t>
        </w:r>
      </w:hyperlink>
    </w:p>
    <w:p w:rsidR="00B21199" w:rsidRPr="003E1130" w:rsidRDefault="00B21199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דייל דובין</w:t>
      </w:r>
    </w:p>
    <w:p w:rsidR="00B21199" w:rsidRPr="003E1130" w:rsidRDefault="00B21199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DA14CC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8" w:history="1">
        <w:r w:rsidR="00DA14CC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אתיקה בסיעוד עכשווי</w:t>
        </w:r>
      </w:hyperlink>
    </w:p>
    <w:p w:rsidR="00DA14CC" w:rsidRPr="003E1130" w:rsidRDefault="00DA14CC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</w:rPr>
        <w:t> 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דורית רובינשטיין, נילי טבק</w:t>
      </w:r>
    </w:p>
    <w:p w:rsidR="00DA14CC" w:rsidRPr="003E1130" w:rsidRDefault="00DA14CC" w:rsidP="00B21199">
      <w:pPr>
        <w:bidi/>
        <w:rPr>
          <w:rFonts w:asciiTheme="minorBidi" w:hAnsiTheme="minorBidi"/>
          <w:sz w:val="24"/>
          <w:szCs w:val="24"/>
          <w:rtl/>
        </w:rPr>
      </w:pPr>
    </w:p>
    <w:p w:rsidR="00DA14CC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9" w:history="1">
        <w:r w:rsidR="00DA14CC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גילנות בחברה הישראלית : הבניה חברתית של הזיקנה בישראל</w:t>
        </w:r>
      </w:hyperlink>
    </w:p>
    <w:p w:rsidR="00DA14CC" w:rsidRPr="003E1130" w:rsidRDefault="00DA14CC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</w:rPr>
        <w:t> 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ישראל דורון</w:t>
      </w:r>
    </w:p>
    <w:p w:rsidR="00DA14CC" w:rsidRPr="003E1130" w:rsidRDefault="00DA14CC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B21199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10" w:history="1">
        <w:r w:rsidR="00B21199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דילמות באתיקה רפואית</w:t>
        </w:r>
      </w:hyperlink>
    </w:p>
    <w:p w:rsidR="00B21199" w:rsidRPr="003E1130" w:rsidRDefault="00B21199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רפאל כהן-אלמגור</w:t>
      </w:r>
    </w:p>
    <w:p w:rsidR="00B21199" w:rsidRPr="003E1130" w:rsidRDefault="00B21199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DA14CC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11" w:history="1">
        <w:r w:rsidR="00DA14CC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המדריך השלם לפרמקולוגיה</w:t>
        </w:r>
      </w:hyperlink>
    </w:p>
    <w:p w:rsidR="00DA14CC" w:rsidRPr="003E1130" w:rsidRDefault="00DA14CC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</w:rPr>
        <w:t> 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יחזקאל מזרחי</w:t>
      </w:r>
    </w:p>
    <w:p w:rsidR="00DA14CC" w:rsidRPr="003E1130" w:rsidRDefault="00DA14CC" w:rsidP="00B21199">
      <w:pPr>
        <w:bidi/>
        <w:rPr>
          <w:rFonts w:asciiTheme="minorBidi" w:hAnsiTheme="minorBidi"/>
          <w:sz w:val="24"/>
          <w:szCs w:val="24"/>
          <w:rtl/>
        </w:rPr>
      </w:pPr>
    </w:p>
    <w:p w:rsidR="00DA14CC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12" w:history="1">
        <w:r w:rsidR="00DA14CC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הריסון : מדריך עקרונות הרפואה הפנימית</w:t>
        </w:r>
      </w:hyperlink>
    </w:p>
    <w:p w:rsidR="00DA14CC" w:rsidRPr="003E1130" w:rsidRDefault="00DA14CC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</w:rPr>
        <w:t> 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פאוסי, בראונוואלד, קספר, האוזר, לונגו, ג'יימסון, לוסאלזו, יהודה שיינפלד</w:t>
      </w:r>
    </w:p>
    <w:p w:rsidR="00DA14CC" w:rsidRPr="003E1130" w:rsidRDefault="00DA14CC" w:rsidP="00B21199">
      <w:pPr>
        <w:bidi/>
        <w:rPr>
          <w:rFonts w:asciiTheme="minorBidi" w:hAnsiTheme="minorBidi"/>
          <w:sz w:val="24"/>
          <w:szCs w:val="24"/>
          <w:rtl/>
        </w:rPr>
      </w:pPr>
    </w:p>
    <w:p w:rsidR="00DA14CC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  <w:hyperlink r:id="rId13" w:history="1">
        <w:r w:rsidR="00DA14CC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מדריך לחישובי תרופות</w:t>
        </w:r>
      </w:hyperlink>
    </w:p>
    <w:p w:rsidR="00DA14CC" w:rsidRPr="003E1130" w:rsidRDefault="00DA14CC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</w:rPr>
        <w:t> 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יחזקאל מזרחי</w:t>
      </w:r>
    </w:p>
    <w:p w:rsidR="00B21199" w:rsidRPr="003E1130" w:rsidRDefault="00B21199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B21199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14" w:history="1">
        <w:r w:rsidR="00B21199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מדריך מרק לתסמיני מטופלים</w:t>
        </w:r>
      </w:hyperlink>
    </w:p>
    <w:p w:rsidR="00B21199" w:rsidRPr="003E1130" w:rsidRDefault="00B21199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</w:rPr>
        <w:t> 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רוברט ס. פורטר, ג'סטין ל. קפלן, ברברה פ. הומייר</w:t>
      </w:r>
    </w:p>
    <w:p w:rsidR="00DA14CC" w:rsidRPr="003E1130" w:rsidRDefault="00DA14CC" w:rsidP="00B21199">
      <w:pPr>
        <w:bidi/>
        <w:rPr>
          <w:rFonts w:asciiTheme="minorBidi" w:hAnsiTheme="minorBidi"/>
          <w:sz w:val="24"/>
          <w:szCs w:val="24"/>
          <w:rtl/>
        </w:rPr>
      </w:pPr>
    </w:p>
    <w:p w:rsidR="00B21199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15" w:history="1">
        <w:r w:rsidR="00B21199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מיילדות, גניקולוגיה ופוריות : עקרונות ויישום</w:t>
        </w:r>
      </w:hyperlink>
    </w:p>
    <w:p w:rsidR="00B21199" w:rsidRPr="003E1130" w:rsidRDefault="00B21199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אברהם גולן</w:t>
      </w:r>
    </w:p>
    <w:p w:rsidR="00B21199" w:rsidRPr="003E1130" w:rsidRDefault="00B21199" w:rsidP="00B21199">
      <w:pPr>
        <w:bidi/>
        <w:rPr>
          <w:rFonts w:asciiTheme="minorBidi" w:hAnsiTheme="minorBidi"/>
          <w:sz w:val="24"/>
          <w:szCs w:val="24"/>
          <w:rtl/>
        </w:rPr>
      </w:pPr>
    </w:p>
    <w:p w:rsidR="00DA14CC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16" w:history="1">
        <w:r w:rsidR="00DA14CC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פסיכיאטריה של הילד המתבגר</w:t>
        </w:r>
      </w:hyperlink>
    </w:p>
    <w:p w:rsidR="00DA14CC" w:rsidRPr="003E1130" w:rsidRDefault="00DA14CC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</w:rPr>
        <w:t> 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אלן אפטר, יוסי הטב, אברהם ויצמן, שמואל טיאנו</w:t>
      </w:r>
    </w:p>
    <w:p w:rsidR="00DA14CC" w:rsidRPr="003E1130" w:rsidRDefault="00DA14CC" w:rsidP="00B21199">
      <w:pPr>
        <w:bidi/>
        <w:rPr>
          <w:rFonts w:asciiTheme="minorBidi" w:hAnsiTheme="minorBidi"/>
          <w:sz w:val="24"/>
          <w:szCs w:val="24"/>
          <w:rtl/>
        </w:rPr>
      </w:pPr>
    </w:p>
    <w:p w:rsidR="00DD5EF0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17" w:history="1">
        <w:r w:rsidR="00DD5EF0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פרקטיקה מבוססת ראיות במדעי הבריאות והרווחה : תיאוריה ומעשה</w:t>
        </w:r>
      </w:hyperlink>
    </w:p>
    <w:p w:rsidR="00DD5EF0" w:rsidRPr="003E1130" w:rsidRDefault="00DD5EF0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</w:rPr>
        <w:t> 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אפרת שדמי, איילת בן-ששון, ענת דרך-זהבי, דליה זק"ש, דיויד רועה</w:t>
      </w:r>
    </w:p>
    <w:p w:rsidR="00DD5EF0" w:rsidRPr="003E1130" w:rsidRDefault="00DD5EF0" w:rsidP="00B21199">
      <w:pPr>
        <w:bidi/>
        <w:rPr>
          <w:rFonts w:asciiTheme="minorBidi" w:hAnsiTheme="minorBidi"/>
          <w:sz w:val="24"/>
          <w:szCs w:val="24"/>
          <w:rtl/>
        </w:rPr>
      </w:pPr>
    </w:p>
    <w:p w:rsidR="00DA14CC" w:rsidRPr="003E1130" w:rsidRDefault="00DA14CC" w:rsidP="00B21199">
      <w:pPr>
        <w:shd w:val="clear" w:color="auto" w:fill="FFFFFF"/>
        <w:bidi/>
        <w:spacing w:after="0" w:line="240" w:lineRule="auto"/>
        <w:rPr>
          <w:rStyle w:val="Hyperlink"/>
          <w:rFonts w:asciiTheme="minorBidi" w:eastAsia="Times New Roman" w:hAnsiTheme="minorBidi"/>
          <w:b/>
          <w:bCs/>
          <w:color w:val="auto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fldChar w:fldCharType="begin"/>
      </w:r>
      <w:r w:rsidRPr="003E1130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instrText xml:space="preserve"> </w:instrText>
      </w:r>
      <w:r w:rsidRPr="003E1130">
        <w:rPr>
          <w:rFonts w:asciiTheme="minorBidi" w:eastAsia="Times New Roman" w:hAnsiTheme="minorBidi"/>
          <w:b/>
          <w:bCs/>
          <w:sz w:val="24"/>
          <w:szCs w:val="24"/>
          <w:u w:val="single"/>
        </w:rPr>
        <w:instrText>HYPERLINK</w:instrText>
      </w:r>
      <w:r w:rsidRPr="003E1130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instrText xml:space="preserve"> "</w:instrText>
      </w:r>
      <w:r w:rsidRPr="003E1130">
        <w:rPr>
          <w:rFonts w:asciiTheme="minorBidi" w:eastAsia="Times New Roman" w:hAnsiTheme="minorBidi"/>
          <w:b/>
          <w:bCs/>
          <w:sz w:val="24"/>
          <w:szCs w:val="24"/>
          <w:u w:val="single"/>
        </w:rPr>
        <w:instrText>https://kotar.cet.ac.il/KotarApp/Viewer.aspx?nBookID=104102873</w:instrText>
      </w:r>
      <w:r w:rsidRPr="003E1130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instrText xml:space="preserve">" </w:instrText>
      </w:r>
      <w:r w:rsidRPr="003E1130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fldChar w:fldCharType="separate"/>
      </w:r>
      <w:r w:rsidRPr="003E1130">
        <w:rPr>
          <w:rStyle w:val="Hyperlink"/>
          <w:rFonts w:asciiTheme="minorBidi" w:eastAsia="Times New Roman" w:hAnsiTheme="minorBidi"/>
          <w:b/>
          <w:bCs/>
          <w:color w:val="auto"/>
          <w:sz w:val="24"/>
          <w:szCs w:val="24"/>
          <w:rtl/>
        </w:rPr>
        <w:t>פרקים נבחרים בפסיכיאטריה</w:t>
      </w:r>
    </w:p>
    <w:p w:rsidR="00DA14CC" w:rsidRPr="003E1130" w:rsidRDefault="00DA14CC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fldChar w:fldCharType="end"/>
      </w: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</w:rPr>
        <w:t> 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אבנר אליצור, שמואל טיאנו, חנן מוניץ, מיכה נוימן</w:t>
      </w:r>
    </w:p>
    <w:p w:rsidR="00DA14CC" w:rsidRPr="003E1130" w:rsidRDefault="00DA14CC" w:rsidP="00B21199">
      <w:pPr>
        <w:bidi/>
        <w:rPr>
          <w:rFonts w:asciiTheme="minorBidi" w:hAnsiTheme="minorBidi"/>
          <w:sz w:val="24"/>
          <w:szCs w:val="24"/>
          <w:rtl/>
        </w:rPr>
      </w:pPr>
    </w:p>
    <w:p w:rsidR="00DA14CC" w:rsidRPr="003E1130" w:rsidRDefault="003B6921" w:rsidP="00B21199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hyperlink r:id="rId18" w:history="1">
        <w:r w:rsidR="00DA14CC" w:rsidRPr="003E1130">
          <w:rPr>
            <w:rFonts w:asciiTheme="minorBidi" w:eastAsia="Times New Roman" w:hAnsiTheme="minorBidi"/>
            <w:b/>
            <w:bCs/>
            <w:sz w:val="24"/>
            <w:szCs w:val="24"/>
            <w:u w:val="single"/>
            <w:rtl/>
          </w:rPr>
          <w:t>רפואת ילדים</w:t>
        </w:r>
      </w:hyperlink>
      <w:r w:rsidR="00DA14CC"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(הגרסה של 2010)</w:t>
      </w:r>
    </w:p>
    <w:p w:rsidR="00DA14CC" w:rsidRPr="003E1130" w:rsidRDefault="00DA14CC" w:rsidP="00B21199">
      <w:pPr>
        <w:shd w:val="clear" w:color="auto" w:fill="FFFFFF"/>
        <w:bidi/>
        <w:spacing w:after="0" w:line="240" w:lineRule="auto"/>
        <w:rPr>
          <w:rFonts w:asciiTheme="minorBidi" w:hAnsiTheme="minorBidi"/>
          <w:sz w:val="24"/>
          <w:szCs w:val="24"/>
        </w:rPr>
      </w:pPr>
      <w:r w:rsidRPr="003E1130">
        <w:rPr>
          <w:rFonts w:asciiTheme="minorBidi" w:eastAsia="Times New Roman" w:hAnsiTheme="minorBidi"/>
          <w:b/>
          <w:bCs/>
          <w:sz w:val="24"/>
          <w:szCs w:val="24"/>
          <w:rtl/>
        </w:rPr>
        <w:t>מאת</w:t>
      </w:r>
      <w:r w:rsidRPr="003E1130">
        <w:rPr>
          <w:rFonts w:asciiTheme="minorBidi" w:eastAsia="Times New Roman" w:hAnsiTheme="minorBidi"/>
          <w:b/>
          <w:bCs/>
          <w:sz w:val="24"/>
          <w:szCs w:val="24"/>
        </w:rPr>
        <w:t>:</w:t>
      </w:r>
      <w:r w:rsidRPr="003E1130">
        <w:rPr>
          <w:rFonts w:asciiTheme="minorBidi" w:eastAsia="Times New Roman" w:hAnsiTheme="minorBidi"/>
          <w:sz w:val="24"/>
          <w:szCs w:val="24"/>
        </w:rPr>
        <w:t> </w:t>
      </w:r>
      <w:r w:rsidRPr="003E1130">
        <w:rPr>
          <w:rFonts w:asciiTheme="minorBidi" w:eastAsia="Times New Roman" w:hAnsiTheme="minorBidi"/>
          <w:sz w:val="24"/>
          <w:szCs w:val="24"/>
          <w:rtl/>
        </w:rPr>
        <w:t>מוטי שוחט, שי אשכנזי</w:t>
      </w:r>
    </w:p>
    <w:sectPr w:rsidR="00DA14CC" w:rsidRPr="003E1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MDazMLE0NTY3MDFR0lEKTi0uzszPAykwrAUAXbIFuCwAAAA="/>
  </w:docVars>
  <w:rsids>
    <w:rsidRoot w:val="00DA14CC"/>
    <w:rsid w:val="001D3919"/>
    <w:rsid w:val="002C081C"/>
    <w:rsid w:val="003B6921"/>
    <w:rsid w:val="003E1130"/>
    <w:rsid w:val="005D3D46"/>
    <w:rsid w:val="006C38A0"/>
    <w:rsid w:val="00783B60"/>
    <w:rsid w:val="00806B3C"/>
    <w:rsid w:val="00811BBA"/>
    <w:rsid w:val="00927CDF"/>
    <w:rsid w:val="00B21199"/>
    <w:rsid w:val="00CE5B20"/>
    <w:rsid w:val="00DA14CC"/>
    <w:rsid w:val="00DD5EF0"/>
    <w:rsid w:val="00E80D01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7334C-774F-4FB9-9E95-CBEE37ED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A14CC"/>
    <w:rPr>
      <w:color w:val="0000FF"/>
      <w:u w:val="single"/>
    </w:rPr>
  </w:style>
  <w:style w:type="character" w:customStyle="1" w:styleId="bold">
    <w:name w:val="bold"/>
    <w:basedOn w:val="a0"/>
    <w:rsid w:val="00DA14CC"/>
  </w:style>
  <w:style w:type="character" w:customStyle="1" w:styleId="UnresolvedMention">
    <w:name w:val="Unresolved Mention"/>
    <w:basedOn w:val="a0"/>
    <w:uiPriority w:val="99"/>
    <w:semiHidden/>
    <w:unhideWhenUsed/>
    <w:rsid w:val="00DA14CC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81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80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ar.cet.ac.il/KotarApp/Viewer.aspx?nBookID=102992105" TargetMode="External"/><Relationship Id="rId13" Type="http://schemas.openxmlformats.org/officeDocument/2006/relationships/hyperlink" Target="https://kotar.cet.ac.il/KotarApp/Viewer.aspx?nBookID=101281865" TargetMode="External"/><Relationship Id="rId18" Type="http://schemas.openxmlformats.org/officeDocument/2006/relationships/hyperlink" Target="https://kotar.cet.ac.il/KotarApp/Viewer.aspx?nBookID=1009488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tar.cet.ac.il/KotarApp/Viewer.aspx?nBookID=100725708" TargetMode="External"/><Relationship Id="rId12" Type="http://schemas.openxmlformats.org/officeDocument/2006/relationships/hyperlink" Target="https://kotar.cet.ac.il/KotarApp/Viewer.aspx?nBookID=101214026" TargetMode="External"/><Relationship Id="rId17" Type="http://schemas.openxmlformats.org/officeDocument/2006/relationships/hyperlink" Target="https://kotar.cet.ac.il/KotarApp/Viewer.aspx?nBookID=1033839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tar.cet.ac.il/KotarApp/Viewer.aspx?nBookID=10055833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otar.cet.ac.il/KotarApp/Viewer.aspx?nBookID=101407388" TargetMode="External"/><Relationship Id="rId11" Type="http://schemas.openxmlformats.org/officeDocument/2006/relationships/hyperlink" Target="https://kotar.cet.ac.il/KotarApp/Viewer.aspx?nBookID=100901382" TargetMode="External"/><Relationship Id="rId5" Type="http://schemas.openxmlformats.org/officeDocument/2006/relationships/hyperlink" Target="https://kotar.cet.ac.il/" TargetMode="External"/><Relationship Id="rId15" Type="http://schemas.openxmlformats.org/officeDocument/2006/relationships/hyperlink" Target="https://kotar.cet.ac.il/KotarApp/Viewer.aspx?nBookID=100744450" TargetMode="External"/><Relationship Id="rId10" Type="http://schemas.openxmlformats.org/officeDocument/2006/relationships/hyperlink" Target="https://kotar.cet.ac.il/KotarApp/Viewer.aspx?nBookID=937919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kotar.cet.ac.il/" TargetMode="External"/><Relationship Id="rId9" Type="http://schemas.openxmlformats.org/officeDocument/2006/relationships/hyperlink" Target="https://kotar.cet.ac.il/KotarApp/Viewer.aspx?nBookID=100038210" TargetMode="External"/><Relationship Id="rId14" Type="http://schemas.openxmlformats.org/officeDocument/2006/relationships/hyperlink" Target="https://kotar.cet.ac.il/KotarApp/Viewer.aspx?nBookID=1012068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2511</Characters>
  <Application>Microsoft Office Word</Application>
  <DocSecurity>0</DocSecurity>
  <Lines>20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Merhav</dc:creator>
  <cp:lastModifiedBy>dafna.wirzberger</cp:lastModifiedBy>
  <cp:revision>2</cp:revision>
  <cp:lastPrinted>2020-10-04T09:47:00Z</cp:lastPrinted>
  <dcterms:created xsi:type="dcterms:W3CDTF">2023-11-15T10:21:00Z</dcterms:created>
  <dcterms:modified xsi:type="dcterms:W3CDTF">2023-11-15T10:21:00Z</dcterms:modified>
</cp:coreProperties>
</file>